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4B1" w:rsidRPr="00D90CEC" w:rsidRDefault="008104B1" w:rsidP="008104B1">
      <w:pPr>
        <w:pStyle w:val="Heading2"/>
        <w:spacing w:line="360" w:lineRule="auto"/>
        <w:ind w:left="266"/>
        <w:rPr>
          <w:spacing w:val="-4"/>
        </w:rPr>
      </w:pPr>
      <w:bookmarkStart w:id="0" w:name="_Toc225342528"/>
      <w:r w:rsidRPr="00D90CEC">
        <w:t>Summary</w:t>
      </w:r>
      <w:r w:rsidRPr="00D90CEC">
        <w:rPr>
          <w:spacing w:val="-2"/>
        </w:rPr>
        <w:t xml:space="preserve"> </w:t>
      </w:r>
      <w:r w:rsidRPr="00D90CEC">
        <w:t>of</w:t>
      </w:r>
      <w:r w:rsidRPr="00D90CEC">
        <w:rPr>
          <w:spacing w:val="-1"/>
        </w:rPr>
        <w:t xml:space="preserve"> </w:t>
      </w:r>
      <w:r w:rsidRPr="00D90CEC">
        <w:t>the</w:t>
      </w:r>
      <w:r w:rsidRPr="00D90CEC">
        <w:rPr>
          <w:spacing w:val="-2"/>
        </w:rPr>
        <w:t xml:space="preserve"> </w:t>
      </w:r>
      <w:r w:rsidRPr="00D90CEC">
        <w:rPr>
          <w:spacing w:val="-4"/>
        </w:rPr>
        <w:t>paper</w:t>
      </w:r>
      <w:bookmarkEnd w:id="0"/>
    </w:p>
    <w:p w:rsidR="008104B1" w:rsidRPr="00D90CEC" w:rsidRDefault="008104B1" w:rsidP="008104B1">
      <w:pPr>
        <w:pStyle w:val="Heading2"/>
        <w:spacing w:line="360" w:lineRule="auto"/>
        <w:ind w:left="266"/>
        <w:jc w:val="both"/>
        <w:rPr>
          <w:b w:val="0"/>
          <w:sz w:val="24"/>
          <w:szCs w:val="24"/>
        </w:rPr>
      </w:pPr>
    </w:p>
    <w:p w:rsidR="008104B1" w:rsidRPr="00D90CEC" w:rsidRDefault="008104B1" w:rsidP="008104B1">
      <w:pPr>
        <w:spacing w:after="0" w:line="360" w:lineRule="auto"/>
        <w:ind w:firstLine="720"/>
        <w:jc w:val="both"/>
        <w:rPr>
          <w:rFonts w:ascii="Times New Roman" w:hAnsi="Times New Roman" w:cs="Times New Roman"/>
          <w:sz w:val="24"/>
          <w:szCs w:val="24"/>
          <w:lang w:val="ro-RO"/>
        </w:rPr>
      </w:pPr>
      <w:r w:rsidRPr="00D90CEC">
        <w:rPr>
          <w:rFonts w:ascii="Times New Roman" w:hAnsi="Times New Roman" w:cs="Times New Roman"/>
          <w:sz w:val="24"/>
          <w:szCs w:val="24"/>
          <w:lang w:val="ro-RO"/>
        </w:rPr>
        <w:t>This thesis develops, refines, and validates a complex conceptual model designed to explain how consumers perceive, evaluate, and respond to online advertising in a digital environment shaped by intense personalization, media fragmentation, and a growing interdependence between message, platform, and exposure context. Based on an extensive theoretical framework</w:t>
      </w:r>
      <w:r>
        <w:rPr>
          <w:rFonts w:ascii="Times New Roman" w:hAnsi="Times New Roman" w:cs="Times New Roman"/>
          <w:sz w:val="24"/>
          <w:szCs w:val="24"/>
          <w:lang w:val="ro-RO"/>
        </w:rPr>
        <w:t xml:space="preserve"> - </w:t>
      </w:r>
      <w:r w:rsidRPr="00D90CEC">
        <w:rPr>
          <w:rFonts w:ascii="Times New Roman" w:hAnsi="Times New Roman" w:cs="Times New Roman"/>
          <w:sz w:val="24"/>
          <w:szCs w:val="24"/>
          <w:lang w:val="ro-RO"/>
        </w:rPr>
        <w:t>structured across four chapters that examine the evolution of marketing communication, the dynamics of media tools and channels, programmatic transformation, and the foundations of advertising effectiveness</w:t>
      </w:r>
      <w:r>
        <w:rPr>
          <w:rFonts w:ascii="Times New Roman" w:hAnsi="Times New Roman" w:cs="Times New Roman"/>
          <w:sz w:val="24"/>
          <w:szCs w:val="24"/>
          <w:lang w:val="ro-RO"/>
        </w:rPr>
        <w:t xml:space="preserve">n - </w:t>
      </w:r>
      <w:r w:rsidRPr="00D90CEC">
        <w:rPr>
          <w:rFonts w:ascii="Times New Roman" w:hAnsi="Times New Roman" w:cs="Times New Roman"/>
          <w:sz w:val="24"/>
          <w:szCs w:val="24"/>
          <w:lang w:val="ro-RO"/>
        </w:rPr>
        <w:t>the research formulates a coherent conceptual structure composed of fourteen latent constructs. These include cognitive and affective determinants of perceived value, as well as normative and behavioral variables that together define how audiences interpret their advertising experience.</w:t>
      </w:r>
    </w:p>
    <w:p w:rsidR="008104B1" w:rsidRPr="00D90CEC" w:rsidRDefault="008104B1" w:rsidP="008104B1">
      <w:pPr>
        <w:spacing w:after="0" w:line="360" w:lineRule="auto"/>
        <w:ind w:firstLine="720"/>
        <w:jc w:val="both"/>
        <w:rPr>
          <w:rFonts w:ascii="Times New Roman" w:hAnsi="Times New Roman" w:cs="Times New Roman"/>
          <w:sz w:val="24"/>
          <w:szCs w:val="24"/>
          <w:lang w:val="ro-RO"/>
        </w:rPr>
      </w:pPr>
      <w:r w:rsidRPr="00D90CEC">
        <w:rPr>
          <w:rFonts w:ascii="Times New Roman" w:hAnsi="Times New Roman" w:cs="Times New Roman"/>
          <w:sz w:val="24"/>
          <w:szCs w:val="24"/>
          <w:lang w:val="ro-RO"/>
        </w:rPr>
        <w:t>The proposed model is theoretically grounded but becomes fully operational through a dual empirical validation. The first stage, conducted with experts, ensures content rigor, semantic precision, and internal coherence for each item in relation to its construct. This phase integrates reliability analyses, structural correlations, and confirmatory procedures demonstrating that the instrument is conceptually and psychometrically solid, with strong loadings and a clearly differentiated latent structure. The second stage, conducted with consumers, provides the decisive test of empirical validity. Using the exploratory factor analysis, and subsequent confirmation, the model is rebuilt directly from the data, and the latent architecture is examined to determine whether it holds under real variations in public perception. Results show strong convergence, adequate discrimination, excellent statistical fit, and a conceptual structure validated numerically in alignment with its theoretical basis.</w:t>
      </w:r>
    </w:p>
    <w:p w:rsidR="008104B1" w:rsidRDefault="008104B1" w:rsidP="008104B1">
      <w:pPr>
        <w:spacing w:after="0" w:line="360" w:lineRule="auto"/>
        <w:ind w:firstLine="720"/>
        <w:jc w:val="both"/>
        <w:rPr>
          <w:rFonts w:ascii="Times New Roman" w:hAnsi="Times New Roman" w:cs="Times New Roman"/>
          <w:sz w:val="24"/>
          <w:szCs w:val="24"/>
          <w:lang w:val="ro-RO"/>
        </w:rPr>
      </w:pPr>
      <w:r w:rsidRPr="00D90CEC">
        <w:rPr>
          <w:rFonts w:ascii="Times New Roman" w:hAnsi="Times New Roman" w:cs="Times New Roman"/>
          <w:sz w:val="24"/>
          <w:szCs w:val="24"/>
          <w:lang w:val="ro-RO"/>
        </w:rPr>
        <w:t>The thesis therefore progresses from theoretical construction to practical validation, showing that consumer perception of online advertising is a multidimensional phenomenon in which benefits, risks, autencity, relevance, informativeness, usefulness, and credibility converge into the evaluation of advertising value, and this value shapes attitude, norms, and behavioral intention in a predictable manner. The work confirms that the proposed theoretical scheme is not only logical but also measurable, demonstrating through rigorous methodology that the dynamics among constructs reflect the actual way individuals experience and interpret digital advertising.</w:t>
      </w:r>
    </w:p>
    <w:p w:rsidR="00CB5F02" w:rsidRDefault="00CB5F02"/>
    <w:p w:rsidR="0070667B" w:rsidRDefault="0070667B">
      <w:bookmarkStart w:id="1" w:name="_GoBack"/>
      <w:bookmarkEnd w:id="1"/>
    </w:p>
    <w:sectPr w:rsidR="00706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B1"/>
    <w:rsid w:val="0070667B"/>
    <w:rsid w:val="008104B1"/>
    <w:rsid w:val="00CB5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EAFA"/>
  <w15:chartTrackingRefBased/>
  <w15:docId w15:val="{C0FDDFFE-4A9B-4787-9DC8-C8C5BACC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04B1"/>
  </w:style>
  <w:style w:type="paragraph" w:styleId="Heading2">
    <w:name w:val="heading 2"/>
    <w:basedOn w:val="Normal"/>
    <w:link w:val="Heading2Char"/>
    <w:uiPriority w:val="9"/>
    <w:unhideWhenUsed/>
    <w:qFormat/>
    <w:rsid w:val="008104B1"/>
    <w:pPr>
      <w:widowControl w:val="0"/>
      <w:autoSpaceDE w:val="0"/>
      <w:autoSpaceDN w:val="0"/>
      <w:spacing w:after="0" w:line="240" w:lineRule="auto"/>
      <w:ind w:left="263" w:right="124"/>
      <w:jc w:val="center"/>
      <w:outlineLvl w:val="1"/>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04B1"/>
    <w:rPr>
      <w:rFonts w:ascii="Times New Roman" w:eastAsia="Times New Roman" w:hAnsi="Times New Roman" w:cs="Times New Roman"/>
      <w:b/>
      <w:bCs/>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Academia de Studii Economice</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barbu g lucianicoleta</dc:creator>
  <cp:keywords/>
  <dc:description/>
  <cp:lastModifiedBy>barbu g lucianicoleta</cp:lastModifiedBy>
  <cp:revision>2</cp:revision>
  <dcterms:created xsi:type="dcterms:W3CDTF">2026-04-15T10:45:00Z</dcterms:created>
  <dcterms:modified xsi:type="dcterms:W3CDTF">2026-04-15T10:46:00Z</dcterms:modified>
</cp:coreProperties>
</file>