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F936D" w14:textId="77777777" w:rsidR="00267D1B" w:rsidRPr="00267D1B" w:rsidRDefault="00267D1B" w:rsidP="00267D1B">
      <w:pPr>
        <w:pStyle w:val="NormalWeb"/>
        <w:jc w:val="center"/>
        <w:rPr>
          <w:color w:val="000000" w:themeColor="text1"/>
        </w:rPr>
      </w:pPr>
      <w:r w:rsidRPr="00267D1B">
        <w:rPr>
          <w:rStyle w:val="Strong"/>
          <w:color w:val="000000" w:themeColor="text1"/>
        </w:rPr>
        <w:t>SUMMARY</w:t>
      </w:r>
    </w:p>
    <w:p w14:paraId="730950F1" w14:textId="77777777" w:rsidR="00267D1B" w:rsidRDefault="00267D1B" w:rsidP="00267D1B">
      <w:pPr>
        <w:pStyle w:val="NormalWeb"/>
        <w:spacing w:before="0" w:beforeAutospacing="0" w:after="0" w:afterAutospacing="0"/>
        <w:ind w:firstLine="720"/>
        <w:jc w:val="both"/>
        <w:rPr>
          <w:color w:val="000000" w:themeColor="text1"/>
        </w:rPr>
      </w:pPr>
      <w:r w:rsidRPr="00267D1B">
        <w:rPr>
          <w:color w:val="000000" w:themeColor="text1"/>
        </w:rPr>
        <w:t>This doctoral thesis addresses one of the most dynamic and disruptive areas of contemporary finance, namely the convergence between modern payment technologies, crypto-assets, and traditional financial markets. In an era marked by accelerated digitalization, the emergence of blockchain technology and decentralized financial instruments has redefined the foundations of financial intermediation, requiring an in-depth analysis of how these innovations influence market volatility, financial stability, lending mechanisms, and monetary policies.</w:t>
      </w:r>
    </w:p>
    <w:p w14:paraId="23811F49" w14:textId="77777777" w:rsidR="00267D1B" w:rsidRDefault="00267D1B" w:rsidP="00267D1B">
      <w:pPr>
        <w:pStyle w:val="NormalWeb"/>
        <w:spacing w:before="0" w:beforeAutospacing="0" w:after="0" w:afterAutospacing="0"/>
        <w:ind w:firstLine="720"/>
        <w:jc w:val="both"/>
        <w:rPr>
          <w:color w:val="000000" w:themeColor="text1"/>
        </w:rPr>
      </w:pPr>
      <w:r w:rsidRPr="00267D1B">
        <w:rPr>
          <w:color w:val="000000" w:themeColor="text1"/>
        </w:rPr>
        <w:t>The relevance of this study is underscored by the rapid transition from marginal speculation to institutional integration, a context in which regulatory authorities seek to balance innovation with consumer protection and systemic stability. Overall, the inclusion of the environmental dimension, the technological transition toward Proof-of-Stake (</w:t>
      </w:r>
      <w:proofErr w:type="spellStart"/>
      <w:r w:rsidRPr="00267D1B">
        <w:rPr>
          <w:color w:val="000000" w:themeColor="text1"/>
        </w:rPr>
        <w:t>PoS</w:t>
      </w:r>
      <w:proofErr w:type="spellEnd"/>
      <w:r w:rsidRPr="00267D1B">
        <w:rPr>
          <w:color w:val="000000" w:themeColor="text1"/>
        </w:rPr>
        <w:t>), and the systemic implications for financial stability highlight the fact that the analysis of crypto-assets cannot be limited to strictly financial or econometric perspectives, requiring instead an integrated approach combining financial analysis, environmental economics, financial systems theory, and regulatory studies.</w:t>
      </w:r>
    </w:p>
    <w:p w14:paraId="7E8347AE" w14:textId="5DF4C81B" w:rsidR="00267D1B" w:rsidRDefault="00267D1B" w:rsidP="00267D1B">
      <w:pPr>
        <w:pStyle w:val="NormalWeb"/>
        <w:spacing w:before="0" w:beforeAutospacing="0" w:after="0" w:afterAutospacing="0"/>
        <w:ind w:firstLine="720"/>
        <w:jc w:val="both"/>
        <w:rPr>
          <w:color w:val="000000" w:themeColor="text1"/>
        </w:rPr>
      </w:pPr>
      <w:r w:rsidRPr="00267D1B">
        <w:rPr>
          <w:color w:val="000000" w:themeColor="text1"/>
        </w:rPr>
        <w:t xml:space="preserve">A central pillar of the work is the exhaustive and up-to-date analysis of the specialized literature, including studies published over the </w:t>
      </w:r>
      <w:r w:rsidR="0022385E">
        <w:rPr>
          <w:color w:val="000000" w:themeColor="text1"/>
        </w:rPr>
        <w:t>recent</w:t>
      </w:r>
      <w:r w:rsidRPr="00267D1B">
        <w:rPr>
          <w:color w:val="000000" w:themeColor="text1"/>
        </w:rPr>
        <w:t xml:space="preserve"> years (2019-202</w:t>
      </w:r>
      <w:r w:rsidR="0022385E">
        <w:rPr>
          <w:color w:val="000000" w:themeColor="text1"/>
        </w:rPr>
        <w:t>5</w:t>
      </w:r>
      <w:r w:rsidRPr="00267D1B">
        <w:rPr>
          <w:color w:val="000000" w:themeColor="text1"/>
        </w:rPr>
        <w:t>), synthesizing the evolution of academic discourse from the early descriptive analyses of Bitcoin toward complex econometric studies on market interconnectedness and contagion effects. A major limitation identified in the existing literature, with significant theoretical and practical implications, concerns the restrictive approach to how crypto-assets are used, with most studies focusing almost exclusively on their role in payments, speculative investment, or portfolio diversification. In contrast, the dimension of crypto-asset use in lending and financial intermediation remains insufficiently explored. Thus, the research demonstrates that, although the literature is extensive, empirical gaps exist regarding the real economic functionalities of crypto-assets and the management of associated risks</w:t>
      </w:r>
      <w:r w:rsidR="0022385E">
        <w:rPr>
          <w:color w:val="000000" w:themeColor="text1"/>
        </w:rPr>
        <w:t xml:space="preserve">, </w:t>
      </w:r>
      <w:r w:rsidRPr="00267D1B">
        <w:rPr>
          <w:color w:val="000000" w:themeColor="text1"/>
        </w:rPr>
        <w:t>limitations which, corroborated with institutional experience and personal motivation, underpin the need for a more rigorous and applied understanding of the phenomenon.</w:t>
      </w:r>
    </w:p>
    <w:p w14:paraId="30431ECE" w14:textId="77777777" w:rsidR="000025DF" w:rsidRDefault="00267D1B" w:rsidP="000025DF">
      <w:pPr>
        <w:pStyle w:val="NormalWeb"/>
        <w:spacing w:before="0" w:beforeAutospacing="0" w:after="0" w:afterAutospacing="0"/>
        <w:ind w:firstLine="720"/>
        <w:jc w:val="both"/>
        <w:rPr>
          <w:color w:val="000000" w:themeColor="text1"/>
        </w:rPr>
      </w:pPr>
      <w:r w:rsidRPr="00267D1B">
        <w:rPr>
          <w:color w:val="000000" w:themeColor="text1"/>
        </w:rPr>
        <w:t xml:space="preserve">To capture the complex nature of the phenomena analyzed, the thesis employs a complex and diversified methodological </w:t>
      </w:r>
      <w:r w:rsidR="000025DF">
        <w:rPr>
          <w:color w:val="000000" w:themeColor="text1"/>
        </w:rPr>
        <w:t>instruments</w:t>
      </w:r>
      <w:r w:rsidRPr="00267D1B">
        <w:rPr>
          <w:color w:val="000000" w:themeColor="text1"/>
        </w:rPr>
        <w:t xml:space="preserve">, combining advanced econometric techniques with computational simulations and using extensive datasets across varying frequencies. The methodology integrates GARCH models to capture clustered volatility and asymmetric shock persistence, </w:t>
      </w:r>
      <w:proofErr w:type="spellStart"/>
      <w:r w:rsidRPr="00267D1B">
        <w:rPr>
          <w:color w:val="000000" w:themeColor="text1"/>
        </w:rPr>
        <w:t>VaR</w:t>
      </w:r>
      <w:proofErr w:type="spellEnd"/>
      <w:r w:rsidRPr="00267D1B">
        <w:rPr>
          <w:color w:val="000000" w:themeColor="text1"/>
        </w:rPr>
        <w:t xml:space="preserve"> (Value at Risk) and ES (Expected Shortfall) analyses to quantify extreme risk, as well as NARDL models to investigate nonlinear relationships between crypto-assets and macroeconomic factors. The work also makes use of Python programming and default risk assessment methods for crypto-collateralized loans, </w:t>
      </w:r>
      <w:r w:rsidR="000025DF" w:rsidRPr="00267D1B">
        <w:rPr>
          <w:color w:val="000000" w:themeColor="text1"/>
        </w:rPr>
        <w:t>considering</w:t>
      </w:r>
      <w:r w:rsidRPr="00267D1B">
        <w:rPr>
          <w:color w:val="000000" w:themeColor="text1"/>
        </w:rPr>
        <w:t xml:space="preserve"> collateral volatility and automatic liquidation thresholds.</w:t>
      </w:r>
    </w:p>
    <w:p w14:paraId="4E55E6F8" w14:textId="77777777" w:rsidR="00823115" w:rsidRDefault="00267D1B" w:rsidP="00823115">
      <w:pPr>
        <w:pStyle w:val="NormalWeb"/>
        <w:spacing w:before="0" w:beforeAutospacing="0" w:after="0" w:afterAutospacing="0"/>
        <w:ind w:firstLine="720"/>
        <w:jc w:val="both"/>
        <w:rPr>
          <w:color w:val="000000" w:themeColor="text1"/>
        </w:rPr>
      </w:pPr>
      <w:r w:rsidRPr="00267D1B">
        <w:rPr>
          <w:color w:val="000000" w:themeColor="text1"/>
        </w:rPr>
        <w:t xml:space="preserve">The thesis makes significant original contributions by proposing an integrated approach linking market volatility to real economic and environmental impact. An element of absolute novelty is the risk analysis of emerging business models that use crypto-assets as collateral, mathematically demonstrating the influence of volatility on default probability. Furthermore, the work integrates an ecological economics component, providing empirical evidence on the impact of price volatility on carbon footprint and analyzing the effects of the technological transition toward </w:t>
      </w:r>
      <w:proofErr w:type="spellStart"/>
      <w:r w:rsidRPr="00267D1B">
        <w:rPr>
          <w:color w:val="000000" w:themeColor="text1"/>
        </w:rPr>
        <w:t>PoS.</w:t>
      </w:r>
      <w:proofErr w:type="spellEnd"/>
    </w:p>
    <w:p w14:paraId="71F1916F" w14:textId="77777777" w:rsidR="00823115" w:rsidRDefault="00267D1B" w:rsidP="00823115">
      <w:pPr>
        <w:pStyle w:val="NormalWeb"/>
        <w:spacing w:before="0" w:beforeAutospacing="0" w:after="0" w:afterAutospacing="0"/>
        <w:ind w:firstLine="720"/>
        <w:jc w:val="both"/>
        <w:rPr>
          <w:color w:val="000000" w:themeColor="text1"/>
        </w:rPr>
      </w:pPr>
      <w:r w:rsidRPr="00267D1B">
        <w:rPr>
          <w:color w:val="000000" w:themeColor="text1"/>
        </w:rPr>
        <w:lastRenderedPageBreak/>
        <w:t>From a financial stability perspective, the use of VAR models and Granger causality tests reveals an increasing correlation between the crypto market and the traditional market during periods of stress, signaling an emerging systemic risk.</w:t>
      </w:r>
      <w:r w:rsidR="00823115">
        <w:rPr>
          <w:color w:val="000000" w:themeColor="text1"/>
        </w:rPr>
        <w:t xml:space="preserve"> </w:t>
      </w:r>
    </w:p>
    <w:p w14:paraId="268134B4" w14:textId="77777777" w:rsidR="00823115" w:rsidRDefault="00267D1B" w:rsidP="00823115">
      <w:pPr>
        <w:pStyle w:val="NormalWeb"/>
        <w:spacing w:before="0" w:beforeAutospacing="0" w:after="0" w:afterAutospacing="0"/>
        <w:ind w:firstLine="720"/>
        <w:jc w:val="both"/>
        <w:rPr>
          <w:color w:val="000000" w:themeColor="text1"/>
        </w:rPr>
      </w:pPr>
      <w:r w:rsidRPr="00267D1B">
        <w:rPr>
          <w:color w:val="000000" w:themeColor="text1"/>
        </w:rPr>
        <w:t>A distinct strength of the thesis is the development of a preliminary empirical model for the adoption of a CBDC (Digital Leu) in Romania, representing a first step in local academic research on this subject.</w:t>
      </w:r>
      <w:r w:rsidR="00823115">
        <w:rPr>
          <w:color w:val="000000" w:themeColor="text1"/>
        </w:rPr>
        <w:t xml:space="preserve"> </w:t>
      </w:r>
    </w:p>
    <w:p w14:paraId="21DE4B06" w14:textId="286ADBDB" w:rsidR="00823115" w:rsidRDefault="00267D1B" w:rsidP="00823115">
      <w:pPr>
        <w:pStyle w:val="NormalWeb"/>
        <w:spacing w:before="0" w:beforeAutospacing="0" w:after="0" w:afterAutospacing="0"/>
        <w:ind w:firstLine="720"/>
        <w:jc w:val="both"/>
        <w:rPr>
          <w:color w:val="000000" w:themeColor="text1"/>
        </w:rPr>
      </w:pPr>
      <w:r w:rsidRPr="00267D1B">
        <w:rPr>
          <w:color w:val="000000" w:themeColor="text1"/>
        </w:rPr>
        <w:t xml:space="preserve">The conclusions of the work emphasize the need for a balanced approach, in which regulation addresses money laundering and environmental risks without stifling innovation. </w:t>
      </w:r>
      <w:proofErr w:type="gramStart"/>
      <w:r w:rsidRPr="00267D1B">
        <w:rPr>
          <w:color w:val="000000" w:themeColor="text1"/>
        </w:rPr>
        <w:t>With regard to</w:t>
      </w:r>
      <w:proofErr w:type="gramEnd"/>
      <w:r w:rsidRPr="00267D1B">
        <w:rPr>
          <w:color w:val="000000" w:themeColor="text1"/>
        </w:rPr>
        <w:t xml:space="preserve"> CBDC, the research suggests the importance of careful design </w:t>
      </w:r>
      <w:proofErr w:type="gramStart"/>
      <w:r w:rsidRPr="00267D1B">
        <w:rPr>
          <w:color w:val="000000" w:themeColor="text1"/>
        </w:rPr>
        <w:t>in order to</w:t>
      </w:r>
      <w:proofErr w:type="gramEnd"/>
      <w:r w:rsidRPr="00267D1B">
        <w:rPr>
          <w:color w:val="000000" w:themeColor="text1"/>
        </w:rPr>
        <w:t xml:space="preserve"> maximize benefits without destabilizing the banking sector.</w:t>
      </w:r>
    </w:p>
    <w:p w14:paraId="67B51010" w14:textId="66673EBA" w:rsidR="00267D1B" w:rsidRPr="00267D1B" w:rsidRDefault="00267D1B" w:rsidP="00823115">
      <w:pPr>
        <w:pStyle w:val="NormalWeb"/>
        <w:spacing w:before="0" w:beforeAutospacing="0" w:after="0" w:afterAutospacing="0"/>
        <w:ind w:firstLine="720"/>
        <w:jc w:val="both"/>
        <w:rPr>
          <w:color w:val="000000" w:themeColor="text1"/>
        </w:rPr>
      </w:pPr>
      <w:r w:rsidRPr="00267D1B">
        <w:rPr>
          <w:color w:val="000000" w:themeColor="text1"/>
        </w:rPr>
        <w:t>Through its methodological complexity and integrated approach to frontier topics, this doctoral thesis offers valuable analytical tools to the academic community, practitioners, and regulatory authorities alike, contributing to the foundation of public policy decisions in a field undergoing rapid and uncertain evolution.</w:t>
      </w:r>
    </w:p>
    <w:p w14:paraId="4C9EF71B" w14:textId="77777777" w:rsidR="00836315" w:rsidRPr="00267D1B" w:rsidRDefault="00836315" w:rsidP="00267D1B">
      <w:pPr>
        <w:jc w:val="both"/>
        <w:rPr>
          <w:color w:val="000000" w:themeColor="text1"/>
        </w:rPr>
      </w:pPr>
    </w:p>
    <w:sectPr w:rsidR="00836315" w:rsidRPr="00267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1B"/>
    <w:rsid w:val="000025DF"/>
    <w:rsid w:val="000208F1"/>
    <w:rsid w:val="000C0A7F"/>
    <w:rsid w:val="0022385E"/>
    <w:rsid w:val="00267D1B"/>
    <w:rsid w:val="002767DB"/>
    <w:rsid w:val="00393E04"/>
    <w:rsid w:val="00823115"/>
    <w:rsid w:val="00836315"/>
    <w:rsid w:val="00AF7679"/>
    <w:rsid w:val="00B8441F"/>
    <w:rsid w:val="00F76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F622"/>
  <w15:chartTrackingRefBased/>
  <w15:docId w15:val="{B3123116-C6CF-1E43-86B4-86F8184B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267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D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D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D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D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D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D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D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D1B"/>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267D1B"/>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267D1B"/>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267D1B"/>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267D1B"/>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267D1B"/>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67D1B"/>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267D1B"/>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67D1B"/>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267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D1B"/>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67D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D1B"/>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67D1B"/>
    <w:pPr>
      <w:spacing w:before="160"/>
      <w:jc w:val="center"/>
    </w:pPr>
    <w:rPr>
      <w:i/>
      <w:iCs/>
      <w:color w:val="404040" w:themeColor="text1" w:themeTint="BF"/>
    </w:rPr>
  </w:style>
  <w:style w:type="character" w:customStyle="1" w:styleId="QuoteChar">
    <w:name w:val="Quote Char"/>
    <w:basedOn w:val="DefaultParagraphFont"/>
    <w:link w:val="Quote"/>
    <w:uiPriority w:val="29"/>
    <w:rsid w:val="00267D1B"/>
    <w:rPr>
      <w:i/>
      <w:iCs/>
      <w:color w:val="404040" w:themeColor="text1" w:themeTint="BF"/>
      <w:lang w:val="ro-RO"/>
    </w:rPr>
  </w:style>
  <w:style w:type="paragraph" w:styleId="ListParagraph">
    <w:name w:val="List Paragraph"/>
    <w:basedOn w:val="Normal"/>
    <w:uiPriority w:val="34"/>
    <w:qFormat/>
    <w:rsid w:val="00267D1B"/>
    <w:pPr>
      <w:ind w:left="720"/>
      <w:contextualSpacing/>
    </w:pPr>
  </w:style>
  <w:style w:type="character" w:styleId="IntenseEmphasis">
    <w:name w:val="Intense Emphasis"/>
    <w:basedOn w:val="DefaultParagraphFont"/>
    <w:uiPriority w:val="21"/>
    <w:qFormat/>
    <w:rsid w:val="00267D1B"/>
    <w:rPr>
      <w:i/>
      <w:iCs/>
      <w:color w:val="0F4761" w:themeColor="accent1" w:themeShade="BF"/>
    </w:rPr>
  </w:style>
  <w:style w:type="paragraph" w:styleId="IntenseQuote">
    <w:name w:val="Intense Quote"/>
    <w:basedOn w:val="Normal"/>
    <w:next w:val="Normal"/>
    <w:link w:val="IntenseQuoteChar"/>
    <w:uiPriority w:val="30"/>
    <w:qFormat/>
    <w:rsid w:val="00267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D1B"/>
    <w:rPr>
      <w:i/>
      <w:iCs/>
      <w:color w:val="0F4761" w:themeColor="accent1" w:themeShade="BF"/>
      <w:lang w:val="ro-RO"/>
    </w:rPr>
  </w:style>
  <w:style w:type="character" w:styleId="IntenseReference">
    <w:name w:val="Intense Reference"/>
    <w:basedOn w:val="DefaultParagraphFont"/>
    <w:uiPriority w:val="32"/>
    <w:qFormat/>
    <w:rsid w:val="00267D1B"/>
    <w:rPr>
      <w:b/>
      <w:bCs/>
      <w:smallCaps/>
      <w:color w:val="0F4761" w:themeColor="accent1" w:themeShade="BF"/>
      <w:spacing w:val="5"/>
    </w:rPr>
  </w:style>
  <w:style w:type="paragraph" w:styleId="NormalWeb">
    <w:name w:val="Normal (Web)"/>
    <w:basedOn w:val="Normal"/>
    <w:uiPriority w:val="99"/>
    <w:semiHidden/>
    <w:unhideWhenUsed/>
    <w:rsid w:val="00267D1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267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715</Words>
  <Characters>4079</Characters>
  <Application>Microsoft Office Word</Application>
  <DocSecurity>0</DocSecurity>
  <Lines>33</Lines>
  <Paragraphs>9</Paragraphs>
  <ScaleCrop>false</ScaleCrop>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Micu</dc:creator>
  <cp:keywords/>
  <dc:description/>
  <cp:lastModifiedBy>Raluca Micu</cp:lastModifiedBy>
  <cp:revision>4</cp:revision>
  <dcterms:created xsi:type="dcterms:W3CDTF">2026-10-01T17:55:00Z</dcterms:created>
  <dcterms:modified xsi:type="dcterms:W3CDTF">2026-10-01T18:03:00Z</dcterms:modified>
</cp:coreProperties>
</file>