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510F94" w14:textId="77777777" w:rsidR="002918B2" w:rsidRPr="00457492" w:rsidRDefault="002918B2" w:rsidP="002918B2">
      <w:pPr>
        <w:pStyle w:val="Heading1"/>
        <w:jc w:val="center"/>
        <w:rPr>
          <w:rFonts w:ascii="Times New Roman" w:hAnsi="Times New Roman" w:cs="Times New Roman"/>
          <w:b/>
          <w:bCs/>
          <w:color w:val="000000" w:themeColor="text1"/>
          <w:sz w:val="28"/>
          <w:szCs w:val="28"/>
        </w:rPr>
      </w:pPr>
      <w:bookmarkStart w:id="0" w:name="_Toc223901012"/>
      <w:r w:rsidRPr="00457492">
        <w:rPr>
          <w:rFonts w:ascii="Times New Roman" w:hAnsi="Times New Roman" w:cs="Times New Roman"/>
          <w:b/>
          <w:bCs/>
          <w:color w:val="000000" w:themeColor="text1"/>
          <w:sz w:val="28"/>
          <w:szCs w:val="28"/>
        </w:rPr>
        <w:t>REZUMAT</w:t>
      </w:r>
      <w:bookmarkEnd w:id="0"/>
    </w:p>
    <w:p w14:paraId="28CF49FA" w14:textId="77777777" w:rsidR="002918B2" w:rsidRDefault="002918B2" w:rsidP="002918B2"/>
    <w:p w14:paraId="3355D1EA" w14:textId="77777777" w:rsidR="002918B2" w:rsidRDefault="002918B2" w:rsidP="002918B2">
      <w:pPr>
        <w:spacing w:line="360" w:lineRule="auto"/>
        <w:ind w:firstLine="720"/>
        <w:jc w:val="both"/>
      </w:pPr>
      <w:r>
        <w:t xml:space="preserve">Prezenta teză de doctorat abordează una dintre cele mai dinamice și disruptive arii ale finanțelor contemporane, respectiv convergența dintre tehnologiile moderne de plată, </w:t>
      </w:r>
      <w:proofErr w:type="spellStart"/>
      <w:r>
        <w:t>criptoactive</w:t>
      </w:r>
      <w:proofErr w:type="spellEnd"/>
      <w:r>
        <w:t xml:space="preserve"> și piețele financiare tradiționale. Într-o eră marcată de digitalizare accelerată, apariția tehnologiei </w:t>
      </w:r>
      <w:proofErr w:type="spellStart"/>
      <w:r>
        <w:t>blockchain</w:t>
      </w:r>
      <w:proofErr w:type="spellEnd"/>
      <w:r>
        <w:t xml:space="preserve"> și a instrumentelor financiare descentralizate a redefinit fundamentele intermedierii financiare, impunând o analiză aprofundată a modului în care aceste inovații influențează volatilitatea piețelor, stabilitatea financiară, mecanismele de creditare și politicile monetare. </w:t>
      </w:r>
    </w:p>
    <w:p w14:paraId="7E62CC87" w14:textId="77777777" w:rsidR="002918B2" w:rsidRDefault="002918B2" w:rsidP="002918B2">
      <w:pPr>
        <w:spacing w:line="360" w:lineRule="auto"/>
        <w:ind w:firstLine="720"/>
        <w:jc w:val="both"/>
      </w:pPr>
      <w:r>
        <w:t xml:space="preserve">Relevanța studiului este subliniată de tranziția rapidă de la speculație marginală la integrare instituțională, context în care autoritățile de reglementare caută să echilibreze inovația cu protecția consumatorului și stabilitatea sistemică. În ansamblu, includerea dimensiunii de mediu, a tranziției tehnologice către </w:t>
      </w:r>
      <w:proofErr w:type="spellStart"/>
      <w:r>
        <w:t>Proof</w:t>
      </w:r>
      <w:proofErr w:type="spellEnd"/>
      <w:r>
        <w:t>-of-</w:t>
      </w:r>
      <w:proofErr w:type="spellStart"/>
      <w:r>
        <w:t>Stake</w:t>
      </w:r>
      <w:proofErr w:type="spellEnd"/>
      <w:r>
        <w:t xml:space="preserve"> (</w:t>
      </w:r>
      <w:proofErr w:type="spellStart"/>
      <w:r>
        <w:t>PoS</w:t>
      </w:r>
      <w:proofErr w:type="spellEnd"/>
      <w:r>
        <w:t xml:space="preserve">) și a implicațiilor sistemice asupra stabilității financiare evidențiază faptul că analiza </w:t>
      </w:r>
      <w:proofErr w:type="spellStart"/>
      <w:r>
        <w:t>criptoactivelor</w:t>
      </w:r>
      <w:proofErr w:type="spellEnd"/>
      <w:r>
        <w:t xml:space="preserve"> nu poate fi limitată la perspective strict financiare sau econometrice, fiind necesară o abordare integrată ce combină analiza financiară, economia mediului, teoria sistemelor financiare și studiile de reglementare.</w:t>
      </w:r>
    </w:p>
    <w:p w14:paraId="2F4D6509" w14:textId="77777777" w:rsidR="002918B2" w:rsidRDefault="002918B2" w:rsidP="002918B2">
      <w:pPr>
        <w:spacing w:line="360" w:lineRule="auto"/>
        <w:ind w:firstLine="720"/>
        <w:jc w:val="both"/>
      </w:pPr>
      <w:r>
        <w:t xml:space="preserve">Un pilon central al lucrării îl constituie analiza exhaustivă și actualizată a literaturii de specialitate, inclusiv studiile publicate în ultimii cinci ani (2019-2024), sintetizând evoluția discursului academic de la primele analize descriptive ale </w:t>
      </w:r>
      <w:proofErr w:type="spellStart"/>
      <w:r>
        <w:t>Bitcoin</w:t>
      </w:r>
      <w:proofErr w:type="spellEnd"/>
      <w:r>
        <w:t xml:space="preserve"> către studii econometrice complexe privind </w:t>
      </w:r>
      <w:proofErr w:type="spellStart"/>
      <w:r>
        <w:t>interconectivitatea</w:t>
      </w:r>
      <w:proofErr w:type="spellEnd"/>
      <w:r>
        <w:t xml:space="preserve"> piețelor și efectele de contagiune. O limitare majoră identificată în literatura existentă, cu implicații teoretice și practice semnificative, se referă la abordarea restrictivă a modului de utilizare a </w:t>
      </w:r>
      <w:proofErr w:type="spellStart"/>
      <w:r>
        <w:t>criptoactivelor</w:t>
      </w:r>
      <w:proofErr w:type="spellEnd"/>
      <w:r>
        <w:t xml:space="preserve">, majoritatea studiilor concentrându-se aproape exclusiv pe rolul acestora în plăți, investiții speculative sau diversificarea portofoliilor. În contrast, dimensiunea utilizării </w:t>
      </w:r>
      <w:proofErr w:type="spellStart"/>
      <w:r>
        <w:t>criptoactivelor</w:t>
      </w:r>
      <w:proofErr w:type="spellEnd"/>
      <w:r>
        <w:t xml:space="preserve"> în activitatea de creditare și intermediere financiară este insuficient explorată. Astfel, cercetarea demonstrează că, deși literatura este vastă, există carențe empirice în ceea ce privește funcționalitățile economice reale ale </w:t>
      </w:r>
      <w:proofErr w:type="spellStart"/>
      <w:r>
        <w:t>criptoactivelor</w:t>
      </w:r>
      <w:proofErr w:type="spellEnd"/>
      <w:r>
        <w:t xml:space="preserve"> și gestionarea riscurilor asociate, limitări care, coroborate cu experiența instituțională și motivația personală, fundamentează necesitatea unei înțelegeri mai riguroase și aplicate a fenomenului.</w:t>
      </w:r>
    </w:p>
    <w:p w14:paraId="4729C5D6" w14:textId="77777777" w:rsidR="002918B2" w:rsidRDefault="002918B2" w:rsidP="002918B2">
      <w:pPr>
        <w:spacing w:line="360" w:lineRule="auto"/>
        <w:ind w:firstLine="720"/>
        <w:jc w:val="both"/>
      </w:pPr>
      <w:r>
        <w:t xml:space="preserve">Pentru a surprinde natura complexă a fenomenelor analizate, teza utilizează un aparat metodologic complex și diversificat, combinând tehnici econometrice avansate cu simulări computaționale și utilizând seturi de date extinse pe frecvențe variate. Metodologia integrează modele GARCH pentru surprinderea volatilității </w:t>
      </w:r>
      <w:proofErr w:type="spellStart"/>
      <w:r>
        <w:t>clusterizate</w:t>
      </w:r>
      <w:proofErr w:type="spellEnd"/>
      <w:r>
        <w:t xml:space="preserve"> și a persistenței asimetrice a șocurilor, analize </w:t>
      </w:r>
      <w:proofErr w:type="spellStart"/>
      <w:r>
        <w:t>VaR</w:t>
      </w:r>
      <w:proofErr w:type="spellEnd"/>
      <w:r>
        <w:t xml:space="preserve"> (</w:t>
      </w:r>
      <w:proofErr w:type="spellStart"/>
      <w:r>
        <w:t>Value</w:t>
      </w:r>
      <w:proofErr w:type="spellEnd"/>
      <w:r>
        <w:t xml:space="preserve"> at </w:t>
      </w:r>
      <w:proofErr w:type="spellStart"/>
      <w:r>
        <w:t>Risk</w:t>
      </w:r>
      <w:proofErr w:type="spellEnd"/>
      <w:r>
        <w:t>) și ES (</w:t>
      </w:r>
      <w:proofErr w:type="spellStart"/>
      <w:r>
        <w:t>Expected</w:t>
      </w:r>
      <w:proofErr w:type="spellEnd"/>
      <w:r>
        <w:t xml:space="preserve"> </w:t>
      </w:r>
      <w:proofErr w:type="spellStart"/>
      <w:r>
        <w:t>Shortfall</w:t>
      </w:r>
      <w:proofErr w:type="spellEnd"/>
      <w:r>
        <w:t xml:space="preserve">) pentru cuantificarea riscului </w:t>
      </w:r>
      <w:r>
        <w:lastRenderedPageBreak/>
        <w:t xml:space="preserve">extrem, precum și modele NARDL pentru investigarea relațiilor neliniare dintre </w:t>
      </w:r>
      <w:proofErr w:type="spellStart"/>
      <w:r>
        <w:t>criptoactive</w:t>
      </w:r>
      <w:proofErr w:type="spellEnd"/>
      <w:r>
        <w:t xml:space="preserve"> și factori macroeconomici. De asemenea, lucrarea apelează la programare în </w:t>
      </w:r>
      <w:proofErr w:type="spellStart"/>
      <w:r>
        <w:t>Python</w:t>
      </w:r>
      <w:proofErr w:type="spellEnd"/>
      <w:r>
        <w:t xml:space="preserve">, metode de evaluare a riscului de </w:t>
      </w:r>
      <w:proofErr w:type="spellStart"/>
      <w:r>
        <w:t>default</w:t>
      </w:r>
      <w:proofErr w:type="spellEnd"/>
      <w:r>
        <w:t xml:space="preserve"> în creditele garantate cu </w:t>
      </w:r>
      <w:proofErr w:type="spellStart"/>
      <w:r>
        <w:t>criptoactive</w:t>
      </w:r>
      <w:proofErr w:type="spellEnd"/>
      <w:r>
        <w:t>, luând în calcul volatilitatea colateralului și pragurile de lichidare automată.</w:t>
      </w:r>
    </w:p>
    <w:p w14:paraId="28978C18" w14:textId="77777777" w:rsidR="002918B2" w:rsidRDefault="002918B2" w:rsidP="002918B2">
      <w:pPr>
        <w:spacing w:line="360" w:lineRule="auto"/>
        <w:ind w:firstLine="720"/>
        <w:jc w:val="both"/>
      </w:pPr>
      <w:r>
        <w:t xml:space="preserve">Teza aduce contribuții originale semnificative prin propunerea unei abordări integrate care leagă volatilitatea pieței de impactul real asupra economiei și mediului. Un element de noutate absolută îl reprezintă analiza riscului în modelele de afaceri emergente ce utilizează </w:t>
      </w:r>
      <w:proofErr w:type="spellStart"/>
      <w:r>
        <w:t>criptoactivele</w:t>
      </w:r>
      <w:proofErr w:type="spellEnd"/>
      <w:r>
        <w:t xml:space="preserve"> drept colateral, demonstrând matematic influența volatilității asupra probabilității de </w:t>
      </w:r>
      <w:proofErr w:type="spellStart"/>
      <w:r>
        <w:t>default</w:t>
      </w:r>
      <w:proofErr w:type="spellEnd"/>
      <w:r>
        <w:t xml:space="preserve">. Mai mult, lucrarea integrează o componentă de economie ecologică, aducând dovezi empirice privind impactul volatilității prețului asupra amprentei de carbon și analizând efectele tranziției tehnologice către </w:t>
      </w:r>
      <w:proofErr w:type="spellStart"/>
      <w:r>
        <w:t>PoS</w:t>
      </w:r>
      <w:proofErr w:type="spellEnd"/>
      <w:r>
        <w:t xml:space="preserve">. </w:t>
      </w:r>
    </w:p>
    <w:p w14:paraId="58E63707" w14:textId="77777777" w:rsidR="002918B2" w:rsidRDefault="002918B2" w:rsidP="002918B2">
      <w:pPr>
        <w:spacing w:line="360" w:lineRule="auto"/>
        <w:ind w:firstLine="720"/>
        <w:jc w:val="both"/>
      </w:pPr>
      <w:r>
        <w:t xml:space="preserve">Din perspectiva stabilității financiare, utilizarea modelelor VAR și a testelor de cauzalitate </w:t>
      </w:r>
      <w:proofErr w:type="spellStart"/>
      <w:r>
        <w:t>Granger</w:t>
      </w:r>
      <w:proofErr w:type="spellEnd"/>
      <w:r>
        <w:t xml:space="preserve"> evidențiază creșterea corelației dintre piața </w:t>
      </w:r>
      <w:proofErr w:type="spellStart"/>
      <w:r>
        <w:t>cripto</w:t>
      </w:r>
      <w:proofErr w:type="spellEnd"/>
      <w:r>
        <w:t xml:space="preserve"> și cea tradițională în perioade de stres, semnalând un risc sistemic emergent. </w:t>
      </w:r>
    </w:p>
    <w:p w14:paraId="12D9FE3C" w14:textId="77777777" w:rsidR="002918B2" w:rsidRDefault="002918B2" w:rsidP="002918B2">
      <w:pPr>
        <w:spacing w:line="360" w:lineRule="auto"/>
        <w:ind w:firstLine="720"/>
        <w:jc w:val="both"/>
      </w:pPr>
      <w:r>
        <w:t xml:space="preserve">Un punct forte distinct al tezei este elaborarea unui model empiric preliminar pentru adoptarea unui CBDC (Leu Digital) în România, reprezentând un prim pas în cercetarea academică locală pe acest subiect, prin simularea scenariilor de implementare și a efectelor asupra </w:t>
      </w:r>
      <w:proofErr w:type="spellStart"/>
      <w:r>
        <w:t>dezintermedierii</w:t>
      </w:r>
      <w:proofErr w:type="spellEnd"/>
      <w:r>
        <w:t xml:space="preserve"> bancare.</w:t>
      </w:r>
    </w:p>
    <w:p w14:paraId="4FFAEC7B" w14:textId="77777777" w:rsidR="002918B2" w:rsidRDefault="002918B2" w:rsidP="002918B2">
      <w:pPr>
        <w:spacing w:line="360" w:lineRule="auto"/>
        <w:ind w:firstLine="720"/>
        <w:jc w:val="both"/>
      </w:pPr>
      <w:r>
        <w:t xml:space="preserve">Concluziile lucrării subliniază necesitatea unei abordări echilibrate, în care reglementarea să adreseze riscurile de spălare a banilor și de mediu fără a bloca inovația. În ceea ce privește CBDC, cercetarea sugerează importanța unui design atent, pentru a maximiza beneficiile fără a destabiliza sectorul bancar. </w:t>
      </w:r>
    </w:p>
    <w:p w14:paraId="684F1CB9" w14:textId="494D76ED" w:rsidR="002918B2" w:rsidRDefault="002918B2" w:rsidP="002918B2">
      <w:pPr>
        <w:spacing w:line="360" w:lineRule="auto"/>
        <w:ind w:firstLine="720"/>
        <w:jc w:val="both"/>
        <w:sectPr w:rsidR="002918B2" w:rsidSect="002918B2">
          <w:headerReference w:type="even" r:id="rId6"/>
          <w:headerReference w:type="default" r:id="rId7"/>
          <w:footerReference w:type="even" r:id="rId8"/>
          <w:footerReference w:type="default" r:id="rId9"/>
          <w:headerReference w:type="first" r:id="rId10"/>
          <w:footerReference w:type="first" r:id="rId11"/>
          <w:pgSz w:w="11907" w:h="16840" w:code="9"/>
          <w:pgMar w:top="1134" w:right="1134" w:bottom="1418" w:left="1418" w:header="454" w:footer="454" w:gutter="0"/>
          <w:pgNumType w:start="1"/>
          <w:cols w:space="720"/>
          <w:docGrid w:linePitch="326"/>
        </w:sectPr>
      </w:pPr>
      <w:r>
        <w:t>Prin complexitatea metodologică și abordarea integrată a unor teme de frontieră, această lucrare de doctorat oferă instrumente analitice valoroase atât mediului academic, cât și practicienilor și autorităților de reglementare, contribuind la fundamentarea deciziilor de politică publică într-un domeniu aflat într-o evoluție rapidă și incertă</w:t>
      </w:r>
      <w:r>
        <w:t>.</w:t>
      </w:r>
    </w:p>
    <w:p w14:paraId="4A5B1886" w14:textId="77777777" w:rsidR="00836315" w:rsidRDefault="00836315"/>
    <w:sectPr w:rsidR="008363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2031CC" w14:textId="77777777" w:rsidR="00EF0A93" w:rsidRDefault="00EF0A93" w:rsidP="002918B2">
      <w:r>
        <w:separator/>
      </w:r>
    </w:p>
  </w:endnote>
  <w:endnote w:type="continuationSeparator" w:id="0">
    <w:p w14:paraId="4DE61DAA" w14:textId="77777777" w:rsidR="00EF0A93" w:rsidRDefault="00EF0A93" w:rsidP="00291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C64EE" w14:textId="77777777" w:rsidR="00000000" w:rsidRDefault="00000000" w:rsidP="002918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38F36C" w14:textId="77777777" w:rsidR="00000000" w:rsidRDefault="00000000">
    <w:pPr>
      <w:pStyle w:val="Footer"/>
    </w:pPr>
  </w:p>
  <w:p w14:paraId="75DF64E7" w14:textId="77777777" w:rsidR="00000000" w:rsidRDefault="00000000"/>
  <w:p w14:paraId="162ED6B3" w14:textId="77777777" w:rsidR="00000000" w:rsidRDefault="00000000"/>
  <w:p w14:paraId="1DEF5058"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42079332"/>
      <w:docPartObj>
        <w:docPartGallery w:val="Page Numbers (Bottom of Page)"/>
        <w:docPartUnique/>
      </w:docPartObj>
    </w:sdtPr>
    <w:sdtContent>
      <w:p w14:paraId="15AFA534" w14:textId="5DCBA6FC" w:rsidR="002918B2" w:rsidRDefault="002918B2" w:rsidP="00B732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F8EDE3" w14:textId="1BA4A08B" w:rsidR="00000000" w:rsidRDefault="00000000" w:rsidP="002918B2">
    <w:pPr>
      <w:pStyle w:val="Footer"/>
      <w:jc w:val="center"/>
    </w:pPr>
  </w:p>
  <w:p w14:paraId="64CADA28" w14:textId="77777777" w:rsidR="00000000" w:rsidRDefault="00000000"/>
  <w:p w14:paraId="55201AD1" w14:textId="77777777" w:rsidR="00000000" w:rsidRDefault="00000000"/>
  <w:p w14:paraId="4BB1A3D5"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96835420"/>
      <w:docPartObj>
        <w:docPartGallery w:val="Page Numbers (Bottom of Page)"/>
        <w:docPartUnique/>
      </w:docPartObj>
    </w:sdtPr>
    <w:sdtEndPr>
      <w:rPr>
        <w:noProof/>
      </w:rPr>
    </w:sdtEndPr>
    <w:sdtContent>
      <w:p w14:paraId="652A3120" w14:textId="77777777" w:rsidR="00000000" w:rsidRDefault="0000000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EAB7C35" w14:textId="77777777" w:rsidR="00000000" w:rsidRDefault="00000000">
    <w:pPr>
      <w:pStyle w:val="Footer"/>
    </w:pPr>
  </w:p>
  <w:p w14:paraId="33C8C017" w14:textId="77777777" w:rsidR="00000000" w:rsidRDefault="00000000"/>
  <w:p w14:paraId="377E0D18" w14:textId="77777777" w:rsidR="00000000" w:rsidRDefault="00000000"/>
  <w:p w14:paraId="79C92A48"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E9623B" w14:textId="77777777" w:rsidR="00EF0A93" w:rsidRDefault="00EF0A93" w:rsidP="002918B2">
      <w:r>
        <w:separator/>
      </w:r>
    </w:p>
  </w:footnote>
  <w:footnote w:type="continuationSeparator" w:id="0">
    <w:p w14:paraId="206030E0" w14:textId="77777777" w:rsidR="00EF0A93" w:rsidRDefault="00EF0A93" w:rsidP="00291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C33B6" w14:textId="77777777" w:rsidR="00000000" w:rsidRDefault="00000000">
    <w:pPr>
      <w:pStyle w:val="Header"/>
    </w:pPr>
  </w:p>
  <w:p w14:paraId="5458A648" w14:textId="77777777" w:rsidR="00000000" w:rsidRDefault="00000000"/>
  <w:p w14:paraId="67EFF7D6" w14:textId="77777777" w:rsidR="00000000" w:rsidRDefault="00000000"/>
  <w:p w14:paraId="7C03CB38"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99D79" w14:textId="77777777" w:rsidR="00000000" w:rsidRDefault="00000000" w:rsidP="0092530F">
    <w:pPr>
      <w:pStyle w:val="Header"/>
      <w:tabs>
        <w:tab w:val="clear" w:pos="8640"/>
        <w:tab w:val="right" w:pos="9360"/>
      </w:tabs>
      <w:jc w:val="both"/>
    </w:pPr>
    <w:r>
      <w:tab/>
    </w:r>
  </w:p>
  <w:p w14:paraId="31FAF789" w14:textId="77777777" w:rsidR="00000000" w:rsidRDefault="00000000"/>
  <w:p w14:paraId="03F70EAD" w14:textId="77777777" w:rsidR="00000000" w:rsidRDefault="00000000"/>
  <w:p w14:paraId="37FAB666"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6A0E8" w14:textId="77777777" w:rsidR="00000000" w:rsidRPr="00457618" w:rsidRDefault="00000000" w:rsidP="00457618">
    <w:pPr>
      <w:spacing w:line="360" w:lineRule="auto"/>
      <w:jc w:val="center"/>
      <w:rPr>
        <w:sz w:val="26"/>
        <w:szCs w:val="26"/>
      </w:rPr>
    </w:pPr>
    <w:r>
      <w:rPr>
        <w:noProof/>
      </w:rPr>
      <mc:AlternateContent>
        <mc:Choice Requires="wps">
          <w:drawing>
            <wp:anchor distT="0" distB="0" distL="114300" distR="114300" simplePos="0" relativeHeight="251659264" behindDoc="0" locked="0" layoutInCell="0" allowOverlap="1" wp14:anchorId="71F44B15" wp14:editId="43F159D1">
              <wp:simplePos x="0" y="0"/>
              <wp:positionH relativeFrom="page">
                <wp:posOffset>0</wp:posOffset>
              </wp:positionH>
              <wp:positionV relativeFrom="page">
                <wp:posOffset>190500</wp:posOffset>
              </wp:positionV>
              <wp:extent cx="7560945" cy="266700"/>
              <wp:effectExtent l="0" t="0" r="0" b="0"/>
              <wp:wrapNone/>
              <wp:docPr id="6" name="MSIPCM5e2648c799c396c5d56cad69" descr="{&quot;HashCode&quot;:577904551,&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0DD094" w14:textId="77777777" w:rsidR="00000000" w:rsidRPr="00591A8C" w:rsidRDefault="00000000" w:rsidP="00591A8C">
                          <w:pPr>
                            <w:jc w:val="right"/>
                            <w:rPr>
                              <w:color w:val="00000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1F44B15" id="_x0000_t202" coordsize="21600,21600" o:spt="202" path="m,l,21600r21600,l21600,xe">
              <v:stroke joinstyle="miter"/>
              <v:path gradientshapeok="t" o:connecttype="rect"/>
            </v:shapetype>
            <v:shape id="MSIPCM5e2648c799c396c5d56cad69" o:spid="_x0000_s1026" type="#_x0000_t202" alt="{&quot;HashCode&quot;:577904551,&quot;Height&quot;:842.0,&quot;Width&quot;:595.0,&quot;Placement&quot;:&quot;Header&quot;,&quot;Index&quot;:&quot;FirstPage&quot;,&quot;Section&quot;:1,&quot;Top&quot;:0.0,&quot;Left&quot;:0.0}" style="position:absolute;left:0;text-align:left;margin-left:0;margin-top:15pt;width:595.3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MwaGgIAACUEAAAOAAAAZHJzL2Uyb0RvYy54bWysU99v2jAQfp+0/8Hy+0hgQNuIULFWTJNQ&#13;&#10;W4lOfTaOTSLZPs82JOyv39kJMHV7mvbiXO7O9+P7Pi/uO63IUTjfgCnpeJRTIgyHqjH7kn5/XX+6&#13;&#10;pcQHZiqmwIiSnoSn98uPHxatLcQEalCVcASLGF+0tqR1CLbIMs9roZkfgRUGgxKcZgF/3T6rHGux&#13;&#10;ulbZJM/nWQuusg648B69j32QLlN9KQUPz1J6EYgqKc4W0unSuYtntlywYu+YrRs+jMH+YQrNGoNN&#13;&#10;L6UeWWDk4Jo/SumGO/Agw4iDzkDKhou0A24zzt9ts62ZFWkXBMfbC0z+/5XlT8etfXEkdF+gQwIj&#13;&#10;IK31hUdn3KeTTscvTkowjhCeLrCJLhCOzpvZPL+bzijhGJvM5zd5wjW73rbOh68CNIlGSR3SktBi&#13;&#10;x40P2BFTzymxmYF1o1SiRhnSlnT+eZanC5cI3lAGL15njVbodt2wwA6qE+7loKfcW75usPmG+fDC&#13;&#10;HHKMq6BuwzMeUgE2gcGipAb382/+mI/QY5SSFjVTUv/jwJygRH0zSMrdeDqNIks/aLhkTGbTHBEh&#13;&#10;u7PbHPQDoB7H+DQsT2ZMDupsSgf6DXW9iu0wxAzHpiUNZ/Mh9BLGd8HFapWSUE+WhY3ZWh5LRxwj&#13;&#10;pq/dG3N2AD4gZU9wlhUr3uHf5/YMrA4BZJPIicj2cA6AoxYTZ8O7iWL//T9lXV/38hcAAAD//wMA&#13;&#10;UEsDBBQABgAIAAAAIQD39Bd04AAAAAwBAAAPAAAAZHJzL2Rvd25yZXYueG1sTI9BT4NAEIXvJv6H&#13;&#10;zZh4s7tFY5UyNK2Gm4mhanpdYAQiO0vYhcK/d3vSy0wmL+/N+5LdbDox0eBaywjrlQJBXNqq5Rrh&#13;&#10;8yO7ewLhvOZKd5YJYSEHu/T6KtFxZc+c03T0tQgh7GKN0Hjfx1K6siGj3cr2xEH7toPRPpxDLatB&#13;&#10;n0O46WSk1KM0uuXwodE9vTRU/hxHgzA+7A/FYqPp7f1w+srnjJc8OyHe3syv2zD2WxCeZv/ngAtD&#13;&#10;6A9pKFbYkSsnOoRA4xHuVdgXdf2sNiAKhE2kQKaJ/A+R/gIAAP//AwBQSwECLQAUAAYACAAAACEA&#13;&#10;toM4kv4AAADhAQAAEwAAAAAAAAAAAAAAAAAAAAAAW0NvbnRlbnRfVHlwZXNdLnhtbFBLAQItABQA&#13;&#10;BgAIAAAAIQA4/SH/1gAAAJQBAAALAAAAAAAAAAAAAAAAAC8BAABfcmVscy8ucmVsc1BLAQItABQA&#13;&#10;BgAIAAAAIQDswMwaGgIAACUEAAAOAAAAAAAAAAAAAAAAAC4CAABkcnMvZTJvRG9jLnhtbFBLAQIt&#13;&#10;ABQABgAIAAAAIQD39Bd04AAAAAwBAAAPAAAAAAAAAAAAAAAAAHQEAABkcnMvZG93bnJldi54bWxQ&#13;&#10;SwUGAAAAAAQABADzAAAAgQUAAAAA&#13;&#10;" o:allowincell="f" filled="f" stroked="f" strokeweight=".5pt">
              <v:textbox inset=",0,20pt,0">
                <w:txbxContent>
                  <w:p w14:paraId="3E0DD094" w14:textId="77777777" w:rsidR="00000000" w:rsidRPr="00591A8C" w:rsidRDefault="00000000" w:rsidP="00591A8C">
                    <w:pPr>
                      <w:jc w:val="right"/>
                      <w:rPr>
                        <w:color w:val="000000"/>
                      </w:rPr>
                    </w:pPr>
                  </w:p>
                </w:txbxContent>
              </v:textbox>
              <w10:wrap anchorx="page" anchory="page"/>
            </v:shape>
          </w:pict>
        </mc:Fallback>
      </mc:AlternateContent>
    </w:r>
    <w:r w:rsidRPr="00521801">
      <w:t xml:space="preserve"> </w:t>
    </w:r>
  </w:p>
  <w:p w14:paraId="5797D0DA" w14:textId="77777777" w:rsidR="00000000" w:rsidRDefault="00000000"/>
  <w:p w14:paraId="76341C99" w14:textId="77777777" w:rsidR="00000000" w:rsidRDefault="00000000"/>
  <w:p w14:paraId="483A1EE1" w14:textId="77777777" w:rsidR="00000000" w:rsidRDefault="00000000"/>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8B2"/>
    <w:rsid w:val="000208F1"/>
    <w:rsid w:val="000C0A7F"/>
    <w:rsid w:val="002767DB"/>
    <w:rsid w:val="002918B2"/>
    <w:rsid w:val="00393E04"/>
    <w:rsid w:val="00457492"/>
    <w:rsid w:val="00836315"/>
    <w:rsid w:val="00AF7679"/>
    <w:rsid w:val="00B8441F"/>
    <w:rsid w:val="00EF0A93"/>
    <w:rsid w:val="00F76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08776"/>
  <w15:chartTrackingRefBased/>
  <w15:docId w15:val="{C16BA153-1C13-A046-9E7A-CF33ABA8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B2"/>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qFormat/>
    <w:rsid w:val="002918B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918B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918B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918B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918B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918B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918B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918B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918B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8B2"/>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2918B2"/>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2918B2"/>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2918B2"/>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2918B2"/>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2918B2"/>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918B2"/>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2918B2"/>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918B2"/>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2918B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918B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918B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918B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918B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918B2"/>
    <w:rPr>
      <w:i/>
      <w:iCs/>
      <w:color w:val="404040" w:themeColor="text1" w:themeTint="BF"/>
      <w:lang w:val="ro-RO"/>
    </w:rPr>
  </w:style>
  <w:style w:type="paragraph" w:styleId="ListParagraph">
    <w:name w:val="List Paragraph"/>
    <w:basedOn w:val="Normal"/>
    <w:uiPriority w:val="34"/>
    <w:qFormat/>
    <w:rsid w:val="002918B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918B2"/>
    <w:rPr>
      <w:i/>
      <w:iCs/>
      <w:color w:val="0F4761" w:themeColor="accent1" w:themeShade="BF"/>
    </w:rPr>
  </w:style>
  <w:style w:type="paragraph" w:styleId="IntenseQuote">
    <w:name w:val="Intense Quote"/>
    <w:basedOn w:val="Normal"/>
    <w:next w:val="Normal"/>
    <w:link w:val="IntenseQuoteChar"/>
    <w:uiPriority w:val="30"/>
    <w:qFormat/>
    <w:rsid w:val="002918B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918B2"/>
    <w:rPr>
      <w:i/>
      <w:iCs/>
      <w:color w:val="0F4761" w:themeColor="accent1" w:themeShade="BF"/>
      <w:lang w:val="ro-RO"/>
    </w:rPr>
  </w:style>
  <w:style w:type="character" w:styleId="IntenseReference">
    <w:name w:val="Intense Reference"/>
    <w:basedOn w:val="DefaultParagraphFont"/>
    <w:uiPriority w:val="32"/>
    <w:qFormat/>
    <w:rsid w:val="002918B2"/>
    <w:rPr>
      <w:b/>
      <w:bCs/>
      <w:smallCaps/>
      <w:color w:val="0F4761" w:themeColor="accent1" w:themeShade="BF"/>
      <w:spacing w:val="5"/>
    </w:rPr>
  </w:style>
  <w:style w:type="paragraph" w:styleId="Header">
    <w:name w:val="header"/>
    <w:basedOn w:val="Normal"/>
    <w:link w:val="HeaderChar"/>
    <w:rsid w:val="002918B2"/>
    <w:pPr>
      <w:tabs>
        <w:tab w:val="center" w:pos="4320"/>
        <w:tab w:val="right" w:pos="8640"/>
      </w:tabs>
    </w:pPr>
  </w:style>
  <w:style w:type="character" w:customStyle="1" w:styleId="HeaderChar">
    <w:name w:val="Header Char"/>
    <w:basedOn w:val="DefaultParagraphFont"/>
    <w:link w:val="Header"/>
    <w:rsid w:val="002918B2"/>
    <w:rPr>
      <w:rFonts w:ascii="Times New Roman" w:eastAsia="Times New Roman" w:hAnsi="Times New Roman" w:cs="Times New Roman"/>
      <w:kern w:val="0"/>
      <w:lang w:val="ro-RO"/>
      <w14:ligatures w14:val="none"/>
    </w:rPr>
  </w:style>
  <w:style w:type="paragraph" w:styleId="Footer">
    <w:name w:val="footer"/>
    <w:basedOn w:val="Normal"/>
    <w:link w:val="FooterChar"/>
    <w:uiPriority w:val="99"/>
    <w:rsid w:val="002918B2"/>
    <w:pPr>
      <w:tabs>
        <w:tab w:val="center" w:pos="4320"/>
        <w:tab w:val="right" w:pos="8640"/>
      </w:tabs>
    </w:pPr>
  </w:style>
  <w:style w:type="character" w:customStyle="1" w:styleId="FooterChar">
    <w:name w:val="Footer Char"/>
    <w:basedOn w:val="DefaultParagraphFont"/>
    <w:link w:val="Footer"/>
    <w:uiPriority w:val="99"/>
    <w:rsid w:val="002918B2"/>
    <w:rPr>
      <w:rFonts w:ascii="Times New Roman" w:eastAsia="Times New Roman" w:hAnsi="Times New Roman" w:cs="Times New Roman"/>
      <w:kern w:val="0"/>
      <w:lang w:val="ro-RO"/>
      <w14:ligatures w14:val="none"/>
    </w:rPr>
  </w:style>
  <w:style w:type="character" w:styleId="PageNumber">
    <w:name w:val="page number"/>
    <w:basedOn w:val="DefaultParagraphFont"/>
    <w:rsid w:val="00291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Micu</dc:creator>
  <cp:keywords/>
  <dc:description/>
  <cp:lastModifiedBy>Raluca Micu</cp:lastModifiedBy>
  <cp:revision>2</cp:revision>
  <dcterms:created xsi:type="dcterms:W3CDTF">2026-10-01T17:52:00Z</dcterms:created>
  <dcterms:modified xsi:type="dcterms:W3CDTF">2026-10-01T18:03:00Z</dcterms:modified>
</cp:coreProperties>
</file>