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header_image_rId1.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11 (Apache licensed) using REFERENCE JAXB in Eclipse Adoptium Java 17.0.8.1 on Linux -->
    <w:p>
      <w:pPr>
        <w:spacing w:after="0"/>
        <w:ind w:left="0"/>
        <w:jc w:val="left"/>
        <w:textAlignment w:val="auto"/>
      </w:pPr>
      <w:r>
        <w:rPr>
          <w:rFonts w:ascii="Times New Roman"/>
          <w:b/>
          <w:i w:val="false"/>
          <w:color w:val="000000"/>
          <w:sz w:val="24"/>
          <w:lang w:val="ro-RO"/>
        </w:rPr>
        <w:t>Procedura din 2024 de emitere a scrisorilor de acceptare la studii a românilor de pretutindeni pentru învăţământul superior de stat şi particular acreditat, pe locuri cu taxă în lei</w:t>
      </w:r>
      <w:r>
        <w:br/>
      </w:r>
      <w:r>
        <w:br/>
      </w:r>
    </w:p>
    <w:p>
      <w:pPr>
        <w:pStyle w:val="NormalStyle"/>
      </w:pPr>
      <w:r>
        <w:t>Procedura din 2024 din 2024.07.30</w:t>
      </w:r>
    </w:p>
    <w:p>
      <w:pPr>
        <w:pStyle w:val="NormalStyle"/>
      </w:pPr>
      <w:r>
        <w:t xml:space="preserve">Status: Acte în vigoare </w:t>
      </w:r>
    </w:p>
    <w:p>
      <w:pPr>
        <w:pStyle w:val="NormalStyle"/>
      </w:pPr>
      <w:r>
        <w:t xml:space="preserve">Versiune de la: 30 Iulie 2024 </w:t>
      </w:r>
    </w:p>
    <w:p>
      <w:pPr>
        <w:spacing w:after="0"/>
        <w:ind w:left="0"/>
        <w:jc w:val="left"/>
        <w:textAlignment w:val="auto"/>
      </w:pPr>
      <w:r>
        <w:br/>
      </w:r>
    </w:p>
    <w:p>
      <w:pPr>
        <w:spacing w:after="0"/>
        <w:ind w:left="0"/>
        <w:jc w:val="left"/>
        <w:textAlignment w:val="auto"/>
      </w:pPr>
      <w:r>
        <w:rPr>
          <w:rFonts w:ascii="Times New Roman"/>
          <w:b/>
          <w:i w:val="false"/>
          <w:color w:val="000000"/>
          <w:sz w:val="24"/>
          <w:lang w:val="ro-RO"/>
        </w:rPr>
        <w:t>Intră în vigoare:</w:t>
      </w:r>
    </w:p>
    <w:p>
      <w:pPr>
        <w:spacing w:after="150"/>
        <w:ind w:left="0"/>
        <w:jc w:val="left"/>
        <w:textAlignment w:val="auto"/>
      </w:pPr>
      <w:r>
        <w:rPr>
          <w:rFonts w:ascii="Times New Roman"/>
          <w:b w:val="false"/>
          <w:i w:val="false"/>
          <w:color w:val="000000"/>
          <w:sz w:val="24"/>
          <w:lang w:val="ro-RO"/>
        </w:rPr>
        <w:t>30 Iulie 2024 An</w:t>
      </w:r>
    </w:p>
    <w:p>
      <w:pPr>
        <w:spacing w:after="0"/>
        <w:ind w:left="0"/>
        <w:jc w:val="left"/>
        <w:textAlignment w:val="auto"/>
      </w:pPr>
    </w:p>
    <w:p>
      <w:pPr>
        <w:numPr>
          <w:ilvl w:val="0"/>
          <w:numId w:val="1"/>
        </w:numPr>
        <w:spacing w:after="0"/>
        <w:ind w:left="0"/>
        <w:jc w:val="left"/>
        <w:textAlignment w:val="auto"/>
      </w:pPr>
    </w:p>
    <w:p>
      <w:pPr>
        <w:spacing w:after="0"/>
        <w:ind w:left="0"/>
        <w:jc w:val="left"/>
        <w:textAlignment w:val="auto"/>
      </w:pPr>
      <w:r>
        <w:br/>
      </w:r>
    </w:p>
    <w:p>
      <w:pPr>
        <w:spacing w:before="146" w:after="0"/>
        <w:ind w:left="0"/>
        <w:jc w:val="center"/>
        <w:textAlignment w:val="auto"/>
      </w:pPr>
      <w:r>
        <w:rPr>
          <w:rFonts w:ascii="Times New Roman"/>
          <w:b/>
          <w:i w:val="false"/>
          <w:color w:val="000000"/>
          <w:sz w:val="24"/>
          <w:lang w:val="ro-RO"/>
        </w:rPr>
        <w:t>Procedura din 2024 de emitere a scrisorilor de acceptare la studii a românilor de pretutindeni pentru învăţământul superior de stat şi particular acreditat, pe locuri cu taxă în lei</w:t>
      </w:r>
    </w:p>
    <w:p>
      <w:pPr>
        <w:spacing w:before="80" w:after="0"/>
        <w:ind w:left="0"/>
        <w:jc w:val="center"/>
        <w:textAlignment w:val="auto"/>
      </w:pPr>
      <w:r>
        <w:rPr>
          <w:rFonts w:ascii="Times New Roman"/>
          <w:b w:val="false"/>
          <w:i w:val="false"/>
          <w:color w:val="000000"/>
          <w:sz w:val="24"/>
          <w:lang w:val="ro-RO"/>
        </w:rPr>
        <w:t>Dată act: 16-iul-2024</w:t>
      </w:r>
    </w:p>
    <w:p>
      <w:pPr>
        <w:spacing w:after="0"/>
        <w:ind w:left="0"/>
        <w:jc w:val="center"/>
        <w:textAlignment w:val="auto"/>
      </w:pPr>
      <w:r>
        <w:rPr>
          <w:rFonts w:ascii="Times New Roman"/>
          <w:b/>
          <w:i w:val="false"/>
          <w:color w:val="000000"/>
          <w:sz w:val="24"/>
          <w:lang w:val="ro-RO"/>
        </w:rPr>
        <w:t>Emitent: Ministerul Educatiei</w:t>
      </w:r>
    </w:p>
    <w:p>
      <w:pPr>
        <w:spacing w:before="80" w:after="240"/>
        <w:ind w:left="0"/>
        <w:jc w:val="center"/>
        <w:textAlignment w:val="auto"/>
      </w:pP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 xml:space="preserve">În conformitate cu prevederile art. 1 alin. (2) din Legea nr. </w:t>
      </w:r>
      <w:r>
        <w:rPr>
          <w:rFonts w:ascii="Times New Roman"/>
          <w:b/>
          <w:i w:val="false"/>
          <w:color w:val="1b1b1b"/>
          <w:sz w:val="24"/>
          <w:lang w:val="ro-RO"/>
        </w:rPr>
        <w:t>299/2007</w:t>
      </w:r>
      <w:r>
        <w:rPr>
          <w:rFonts w:ascii="Times New Roman"/>
          <w:b/>
          <w:i w:val="false"/>
          <w:color w:val="000000"/>
          <w:sz w:val="24"/>
          <w:lang w:val="ro-RO"/>
        </w:rPr>
        <w:t xml:space="preserve"> privind sprijinul acordat românilor de pretutindeni, republicată, cu modificările şi completările ulterioare, din categoria românilor de pretutindeni fac parte: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persoanele aparţinând minorităţilor naţionale, minorităţilor lingvistice sau grupurilor etnice autohtone române sau care aparţin filonului cultural şi etnic românesc, existente în statele din vecinătatea României şi alte state, care îşi asumă identitatea etnică, lingvistică şi culturală română faţă de autorităţile române, indiferent de etnonimul folosit;</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românii emigranţi, fie că au păstrat sau nu au păstrat cetăţenia română, descendenţii acestora, precum şi cetăţenii români cu domiciliul sau reşedinţa în străinătate;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etnicii care se recunosc de origine română, aflaţi în afara graniţelor ţării, înregistraţi ca altă minoritate în statul de reşedinţă, care îşi asumă, prin autoidentificare, apartenenţa la spaţiul cultural şi identitar românesc.</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Persoanele prevăzute la alin. (1) beneficiază de drepturile românilor de pretutindeni, pe baza îndeplinirii următoarelor condiţii: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declară pe propria răspundere, pe baza voinţei liber exprimate, cu respectarea condiţiilor prevăzute de Convenţia-cadru pentru protecţia minorităţilor naţionale, că îşi asumă identitatea culturală română, indiferent de denumirea folosită în statul de cetăţenie sau reşedinţă pentru desemnarea minorităţii sau comunităţii respective;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posedă cunoştinţe de limba română corespunzătoare.</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vederea emiterii scrisorii de acceptare la studii pentru românii de pretutindeni în învăţământul superior de stat şi particular acreditat, pe locuri cu taxă în lei, instituţiile de învăţământ superior transmit Ministerului Educaţiei macheta care cuprinde datele candidaţilor admişi, însoţită de o adresă de înaintare în format electronic, la adresa de e-mail a direcţiei de specialitate (international@edu.gov.ro).</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Taxa de şcolarizare este în cuantumul stabilit pentru cetăţenii români.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Ministerul Educaţiei transmite instituţiilor de învăţământ superior scrisorile de acceptare la studii.</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Instituţiile de învăţământ superior transmit beneficiarilor scrisoarea de acceptare la studii.</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3 </w:t>
      </w:r>
    </w:p>
    <w:p>
      <w:pPr>
        <w:spacing w:after="0"/>
        <w:ind w:left="0"/>
        <w:jc w:val="left"/>
        <w:textAlignment w:val="auto"/>
      </w:pPr>
      <w:r>
        <w:rPr>
          <w:rFonts w:ascii="Times New Roman"/>
          <w:b w:val="false"/>
          <w:i w:val="false"/>
          <w:color w:val="000000"/>
          <w:sz w:val="24"/>
          <w:lang w:val="ro-RO"/>
        </w:rPr>
        <w:t>Românii de pretutindeni care nu cunosc limba română pot opta pentru frecventarea programului de studii "An pregătitor de limba română", în conformitate cu prevederile legale în vigoare, în cuantumul stabilit de fiecare instituţie de învăţământ acreditată pentru acest program.</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4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cazul în care studenţii prevăzuţi la art. 2 solicită mobilitate academică definitivă, instituţiile de învăţământ superior transmit direcţiei de specialitate din cadrul Ministerului Educaţiei dosarul pentru emiterea unei noi scrisori de acceptare la studii.</w:t>
      </w: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Dosarul va conţine următoarele documente: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adresa de înaintare din partea instituţiei de învăţământ superior primitoare în care se menţionează condiţiile de şcolarizare;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cererea de mobilitate academică definitivă, avizată de cele două instituţii de învăţământ superior;</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scrisoarea de acceptare la studii emisă iniţial în favoarea candidatului;</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adeverinţă sau foi matricole, după caz.</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 urma analizei dosarului, direcţia de specialitate din cadrul Ministerului Educaţiei emite o nouă scrisoare de acceptare la studii.</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5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cazul în care studentul depăşeşte perioada de şcolarizare prevăzută pentru programul de studii la care a fost admis, instituţiile de învăţământ superior transmit Ministerului Educaţiei dosarul pentru emiterea unei noi scrisori de acceptare la studii.</w:t>
      </w: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Dosarul va conţine următoarele documente: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adresa oficială din partea instituţiei de învăţământ superior;</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scrisoarea de acceptare la studii emisă iniţial în favoarea candidatului;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adeverinţă privind situaţia şcolară a studentului.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 urma analizei dosarului, direcţia de specialitate din cadrul Ministerului Educaţiei emite scrisoarea de acceptare la studii.</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6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cazul în care studentul îşi schimbă domeniul de studii universitare, instituţia de învăţământ superior transmite Ministerului Educaţiei dosarul pentru emiterea unei noi scrisori de acceptare la studii.</w:t>
      </w: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Dosarul va conţine următoarele documente: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adresa de înaintare din partea instituţiei de învăţământ superior;</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scrisoarea de acceptare la studii emisă iniţial în favoarea candidatului;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adeverinţă privind situaţia şcolară a studentului şi decizia instituţiei de învăţământ superior cu privire la examenele de diferenţă stabilite. Examenele stabilite se susţin în sesiunile de examen programate, confirm structurilor aprobate, după îndeplinirea tuturor obligaţiilor didactice, cu achitarea taxelor de studii corespunzătoare numărului de credite asociat fiecărei discipline de diferenţă.</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 urma analizei dosarului, direcţia de specialitate din cadrul Ministerului Educaţiei emite o nouă scrisoare de acceptare la studii.</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7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cazul în care un student este absolventul unor studii parţiale efectuate în străinătate şi solicită continuarea studiilor în România, se va adresa unei instituţii de învăţământ superior, care va transmite Ministerului Educaţiei dosarul pentru emiterea scrisorii de acceptare la studii.</w:t>
      </w: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Dosarul va conţine următoarele documente: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adresa de înaintare din partea instituţiei de învăţământ superior, în care se vor preciza anul în care va fi înmatriculat studentul respectiv şi eventualele diferenţe stabilite în urma comparării foilor matricole;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cererea candidatului respectiv pentru continuarea studiilor pe loc de studii cu taxă în lei, în cuantumul stabilit de fiecare instituţie de învăţământ acreditată pentru cetăţenii români;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decizia instituţiei de învăţământ superior cu privire la examenele de diferenţă stabilite. Examenele stabilite se susţin în sesiunile de examen programate, confirm structurilor aprobate, după îndeplinirea tuturor obligaţiilor didactice, cu achitarea taxelor de studii corespunzătoare numărului de credite asociat fiecărei discipline de diferenţă.</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8 </w:t>
      </w:r>
    </w:p>
    <w:p>
      <w:pPr>
        <w:spacing w:after="0"/>
        <w:ind w:left="0"/>
        <w:jc w:val="left"/>
        <w:textAlignment w:val="auto"/>
      </w:pPr>
      <w:r>
        <w:rPr>
          <w:rFonts w:ascii="Times New Roman"/>
          <w:b w:val="false"/>
          <w:i w:val="false"/>
          <w:color w:val="000000"/>
          <w:sz w:val="24"/>
          <w:lang w:val="ro-RO"/>
        </w:rPr>
        <w:t>Ministerul Educaţiei actualizează anual, după caz, lista pe ţări a diplomelor care asigură accesul la studii de scurtă durată şi de licenţă în sistemul educaţional din România.</w:t>
      </w:r>
    </w:p>
    <w:p>
      <w:pPr>
        <w:spacing w:before="26" w:after="240"/>
        <w:ind w:left="0"/>
        <w:jc w:val="left"/>
        <w:textAlignment w:val="auto"/>
      </w:pPr>
      <w:r>
        <w:rPr>
          <w:rFonts w:ascii="Times New Roman"/>
          <w:b w:val="false"/>
          <w:i w:val="false"/>
          <w:color w:val="000000"/>
          <w:sz w:val="24"/>
          <w:lang w:val="ro-RO"/>
        </w:rPr>
        <w:t>Publicat în Monitorul Oficial cu numărul 742 din data de 30 iulie 2024</w:t>
      </w:r>
    </w:p>
    <w:sectPr>
      <w:headerReference w:type="default" r:id="rId4"/>
      <w:pgSz w:w="11907" w:h="16839" w:code="9"/>
      <w:pgMar w:top="1440" w:right="1440" w:bottom="1440" w:left="1440"/>
    </w:sectPr>
  </w:body>
</w:document>
</file>

<file path=word/header.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tbl>
    <w:tblPr>
      <w:tblBorders>
        <w:bottom w:val="single" w:color="FFFFFF" w:space="800"/>
      </w:tblBorders>
    </w:tblPr>
    <w:tblGrid>
      <w:gridCol w:w="4513"/>
      <w:gridCol w:w="4513"/>
    </w:tblGrid>
    <w:tr>
      <w:trPr>
        <w:trHeight w:val="2000" w:hRule="exact"/>
      </w:trPr>
      <w:tc>
        <w:tcPr>
          <w:tcW w:w="4513" w:type="dxa"/>
        </w:tcPr>
        <w:p/>
        <w:p>
          <w:r>
            <w:drawing>
              <wp:inline distT="0" distB="0" distL="0" distR="0">
                <wp:extent cx="1250000" cy="350000"/>
                <wp:effectExtent l="0" t="0" r="0" b="0"/>
                <wp:docPr id="1" name="logo" descr="logo"/>
                <wp:cNvGraphicFramePr>
                  <a:graphicFrameLocks noChangeAspect="true"/>
                </wp:cNvGraphicFramePr>
                <a:graphic>
                  <a:graphicData uri="http://schemas.openxmlformats.org/drawingml/2006/picture">
                    <pic:pic>
                      <pic:nvPicPr>
                        <pic:cNvPr id="2" name="logo"/>
                        <pic:cNvPicPr/>
                      </pic:nvPicPr>
                      <pic:blipFill>
                        <a:blip r:embed="rId1"/>
                        <a:stretch>
                          <a:fillRect/>
                        </a:stretch>
                      </pic:blipFill>
                      <pic:spPr>
                        <a:xfrm>
                          <a:off x="0" y="0"/>
                          <a:ext cx="1250000" cy="350000"/>
                        </a:xfrm>
                        <a:prstGeom prst="rect">
                          <a:avLst/>
                        </a:prstGeom>
                      </pic:spPr>
                    </pic:pic>
                  </a:graphicData>
                </a:graphic>
              </wp:inline>
            </w:drawing>
          </w:r>
        </w:p>
      </w:tc>
      <w:tc>
        <w:tcPr>
          <w:tcW w:w="4513" w:type="dxa"/>
        </w:tcPr>
        <w:p/>
        <w:p>
          <w:pPr>
            <w:jc w:val="right"/>
          </w:pPr>
          <w:r>
            <w:t>31.07.2024</w:t>
          </w:r>
        </w:p>
      </w:tc>
    </w:tr>
  </w:tbl>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none"/>
      <w:lvlText w:val=""/>
      <w:lvlJc w:val="left"/>
      <w:pPr>
        <w:ind w:left="0"/>
      </w:pPr>
    </w:lvl>
  </w:abstractNum>
  <w:num w:numId="1">
    <w:abstractNumId w:val="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imes New Roman" w:hAnsi="Times New Roman" w:eastAsia="Times New Roman" w:cs="Times New Roman" w:asciiTheme="minorHAnsi" w:hAnsiTheme="minorHAnsi" w:eastAsiaTheme="minorHAnsi" w:cstheme="minorBidi"/>
        <w:sz w:val="24"/>
        <w:szCs w:val="22"/>
        <w:lang w:val="ro-RO"/>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rPr>
      <w:rFonts w:ascii="Times New Roman" w:hAnsi="Times New Roman" w:eastAsia="Times New Roman" w:cs="Times New Roman"/>
      <w:sz w:val="24"/>
      <w:lang w:val="ro-RO"/>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HeaderStyle">
    <w:name w:val="HeaderStyle"/>
    <w:pPr>
      <w:spacing w:line="240" w:lineRule="auto"/>
      <w:jc w:val="center"/>
    </w:pPr>
    <w:rPr>
      <w:rFonts w:ascii="Times New Roman" w:hAnsi="Times New Roman" w:eastAsia="Times New Roman" w:cs="Times New Roman"/>
      <w:b/>
      <w:color w:val="000000" w:themeColor="text1"/>
      <w:sz w:val="24"/>
    </w:rPr>
  </w:style>
  <w:style w:type="paragraph" w:styleId="TitleStyle">
    <w:name w:val="TitleStyle"/>
    <w:pPr>
      <w:spacing w:line="240" w:lineRule="auto"/>
      <w:jc w:val="left"/>
    </w:pPr>
    <w:rPr>
      <w:rFonts w:ascii="Times New Roman" w:hAnsi="Times New Roman" w:eastAsia="Times New Roman" w:cs="Times New Roman"/>
      <w:b/>
      <w:color w:val="000000" w:themeColor="text1"/>
      <w:sz w:val="24"/>
    </w:rPr>
  </w:style>
  <w:style w:type="paragraph" w:styleId="TitleCenterStyle">
    <w:name w:val="TitleCenterStyle"/>
    <w:pPr>
      <w:spacing w:line="240" w:lineRule="auto"/>
      <w:jc w:val="center"/>
    </w:pPr>
    <w:rPr>
      <w:rFonts w:ascii="Times New Roman" w:hAnsi="Times New Roman" w:eastAsia="Times New Roman" w:cs="Times New Roman"/>
      <w:b/>
      <w:color w:val="000000" w:themeColor="text1"/>
      <w:sz w:val="24"/>
    </w:rPr>
  </w:style>
  <w:style w:type="paragraph" w:styleId="NormalStyle">
    <w:name w:val="NormalStyle"/>
    <w:pPr>
      <w:spacing w:after="0" w:line="240" w:lineRule="auto"/>
      <w:jc w:val="left"/>
    </w:pPr>
    <w:rPr>
      <w:rFonts w:ascii="Times New Roman" w:hAnsi="Times New Roman" w:eastAsia="Times New Roman" w:cs="Times New Roman"/>
      <w:color w:val="000000" w:themeColor="text1"/>
      <w:sz w:val="24"/>
    </w:rPr>
  </w:style>
  <w:style w:type="paragraph" w:styleId="NormalSpacingStyle">
    <w:name w:val="NormalSpacingStyle"/>
    <w:pPr>
      <w:spacing w:line="240" w:lineRule="auto"/>
      <w:jc w:val="left"/>
    </w:pPr>
    <w:rPr>
      <w:rFonts w:ascii="Times New Roman" w:hAnsi="Times New Roman" w:eastAsia="Times New Roman" w:cs="Times New Roman"/>
      <w:color w:val="000000" w:themeColor="text1"/>
      <w:sz w:val="24"/>
    </w:rPr>
  </w:style>
  <w:style w:type="paragraph" w:styleId="BoldStyle">
    <w:name w:val="BoldStyle"/>
    <w:pPr>
      <w:spacing w:after="0" w:line="240" w:lineRule="auto"/>
      <w:jc w:val="left"/>
    </w:pPr>
    <w:rPr>
      <w:rFonts w:ascii="Times New Roman" w:hAnsi="Times New Roman" w:eastAsia="Times New Roman" w:cs="Times New Roman"/>
      <w:b/>
      <w:color w:val="000000" w:themeColor="text1"/>
      <w:sz w:val="24"/>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header.xml" Type="http://schemas.openxmlformats.org/officeDocument/2006/relationships/header" Id="rId4"/>
</Relationships>

</file>

<file path=word/_rels/header.xml.rels><?xml version="1.0" encoding="UTF-8" standalone="yes"?>
<Relationships xmlns="http://schemas.openxmlformats.org/package/2006/relationships">
    <Relationship Target="media/header_image_rId1.png" Type="http://schemas.openxmlformats.org/officeDocument/2006/relationships/image" Id="rId1"/>
</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